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2023938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נורית קורן</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טלי פלוסקוב</w:t>
      </w:r>
      <w:r>
        <w:br/>
      </w:r>
      <w:r>
        <w:rPr>
          <w:rFonts w:hint="cs"/>
          <w:b/>
          <w:bCs/>
          <w:rtl/>
        </w:rPr>
        <w:t xml:space="preserve"> </w:t>
      </w:r>
      <w:r>
        <w:tab/>
      </w:r>
      <w:r>
        <w:tab/>
      </w:r>
      <w:r>
        <w:tab/>
      </w:r>
      <w:r>
        <w:tab/>
      </w:r>
      <w:r>
        <w:rPr>
          <w:rFonts w:hint="cs"/>
          <w:b/>
          <w:bCs/>
          <w:rtl/>
        </w:rPr>
        <w:t>יואב קיש</w:t>
      </w:r>
      <w:r>
        <w:br/>
      </w:r>
      <w:r>
        <w:rPr>
          <w:rFonts w:hint="cs"/>
          <w:b/>
          <w:bCs/>
          <w:rtl/>
        </w:rPr>
        <w:t xml:space="preserve"> </w:t>
      </w:r>
      <w:r>
        <w:tab/>
      </w:r>
      <w:r>
        <w:tab/>
      </w:r>
      <w:r>
        <w:tab/>
      </w:r>
      <w:r>
        <w:tab/>
      </w:r>
      <w:r>
        <w:rPr>
          <w:rFonts w:hint="cs"/>
          <w:b/>
          <w:bCs/>
          <w:rtl/>
        </w:rPr>
        <w:t>מרב מיכאלי</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פ/4866/20</w:t>
      </w:r>
      <w:bookmarkEnd w:id="6"/>
    </w:p>
    <w:p w14:paraId="7F6961AD" w14:textId="67050CE6" w:rsidR="00E13C27" w:rsidRPr="00F67051" w:rsidRDefault="00A443CF" w:rsidP="0093327C">
      <w:pPr>
        <w:pStyle w:val="HeadHatzaotHok"/>
        <w:rPr>
          <w:rtl/>
        </w:rPr>
      </w:pPr>
      <w:bookmarkStart w:id="7" w:name="LGS_Subject"/>
      <w:r>
        <w:rPr>
          <w:rFonts w:hint="cs"/>
          <w:rtl/>
        </w:rPr>
        <w:t xml:space="preserve">הצעת חוק ההוצאה לפועל (תיקון </w:t>
      </w:r>
      <w:r w:rsidR="0093327C">
        <w:rPr>
          <w:rFonts w:hint="eastAsia"/>
          <w:rtl/>
        </w:rPr>
        <w:t>–</w:t>
      </w:r>
      <w:r>
        <w:rPr>
          <w:rFonts w:hint="cs"/>
          <w:rtl/>
        </w:rPr>
        <w:t xml:space="preserve"> תנאים להגבלת רישיון נהיגה), התשע"ח</w:t>
      </w:r>
      <w:r w:rsidR="0093327C">
        <w:rPr>
          <w:rFonts w:hint="eastAsia"/>
          <w:rtl/>
        </w:rPr>
        <w:t>–</w:t>
      </w:r>
      <w:bookmarkStart w:id="8" w:name="_GoBack"/>
      <w:bookmarkEnd w:id="8"/>
      <w:r>
        <w:rPr>
          <w:rFonts w:hint="cs"/>
          <w:rtl/>
        </w:rPr>
        <w:t>2017</w:t>
      </w:r>
      <w:bookmarkEnd w:id="7"/>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2F1D80" w14:paraId="035EEF3D" w14:textId="77777777" w:rsidTr="002C3041">
        <w:trPr>
          <w:cantSplit/>
          <w:trHeight w:val="60"/>
        </w:trPr>
        <w:tc>
          <w:tcPr>
            <w:tcW w:w="1871" w:type="dxa"/>
          </w:tcPr>
          <w:p w14:paraId="3863FF98" w14:textId="7943C1D3" w:rsidR="002F1D80" w:rsidRDefault="007B012C" w:rsidP="002C3041">
            <w:pPr>
              <w:pStyle w:val="TableSideHeading"/>
              <w:keepLines w:val="0"/>
            </w:pPr>
            <w:r w:rsidRPr="007B012C">
              <w:rPr>
                <w:rtl/>
              </w:rPr>
              <w:t>תיקון סעיף 66א</w:t>
            </w:r>
          </w:p>
        </w:tc>
        <w:tc>
          <w:tcPr>
            <w:tcW w:w="624" w:type="dxa"/>
          </w:tcPr>
          <w:p w14:paraId="6F513EF6" w14:textId="30F89D97" w:rsidR="002F1D80" w:rsidRDefault="0055769C" w:rsidP="002C3041">
            <w:pPr>
              <w:pStyle w:val="TableText"/>
              <w:keepLines w:val="0"/>
            </w:pPr>
            <w:r>
              <w:rPr>
                <w:rFonts w:hint="cs"/>
                <w:rtl/>
              </w:rPr>
              <w:t>1.</w:t>
            </w:r>
          </w:p>
        </w:tc>
        <w:tc>
          <w:tcPr>
            <w:tcW w:w="7146" w:type="dxa"/>
            <w:gridSpan w:val="2"/>
          </w:tcPr>
          <w:p w14:paraId="1AE94DEB" w14:textId="2B60F43D" w:rsidR="002F1D80" w:rsidRPr="00C34DE2" w:rsidRDefault="007B012C" w:rsidP="00477DF6">
            <w:pPr>
              <w:pStyle w:val="TableSideHeading"/>
              <w:keepLines w:val="0"/>
              <w:jc w:val="both"/>
            </w:pPr>
            <w:r w:rsidRPr="007B012C">
              <w:rPr>
                <w:rtl/>
              </w:rPr>
              <w:t>בחוק ההוצאה לפועל, התשכ"ז–1967</w:t>
            </w:r>
            <w:r w:rsidRPr="007B012C">
              <w:rPr>
                <w:sz w:val="12"/>
                <w:szCs w:val="18"/>
                <w:rtl/>
              </w:rPr>
              <w:footnoteReference w:id="2"/>
            </w:r>
            <w:r w:rsidRPr="007B012C">
              <w:rPr>
                <w:rtl/>
              </w:rPr>
              <w:t xml:space="preserve">, בסעיף 66א, </w:t>
            </w:r>
            <w:r w:rsidR="00477DF6">
              <w:rPr>
                <w:rFonts w:hint="cs"/>
                <w:rtl/>
              </w:rPr>
              <w:t xml:space="preserve">במקום </w:t>
            </w:r>
            <w:r w:rsidRPr="007B012C">
              <w:rPr>
                <w:rtl/>
              </w:rPr>
              <w:t>פסקה (6) יבוא</w:t>
            </w:r>
            <w:r>
              <w:rPr>
                <w:rFonts w:hint="cs"/>
                <w:rtl/>
              </w:rPr>
              <w:t>:</w:t>
            </w:r>
          </w:p>
        </w:tc>
      </w:tr>
      <w:tr w:rsidR="008B1FF5" w14:paraId="1FB6EDB4" w14:textId="77777777">
        <w:trPr>
          <w:cantSplit/>
          <w:trHeight w:val="60"/>
        </w:trPr>
        <w:tc>
          <w:tcPr>
            <w:tcW w:w="1871" w:type="dxa"/>
          </w:tcPr>
          <w:p w14:paraId="74CC083A" w14:textId="77777777" w:rsidR="008B1FF5" w:rsidRDefault="008B1FF5">
            <w:pPr>
              <w:pStyle w:val="TableSideHeading"/>
            </w:pPr>
          </w:p>
        </w:tc>
        <w:tc>
          <w:tcPr>
            <w:tcW w:w="624" w:type="dxa"/>
          </w:tcPr>
          <w:p w14:paraId="52647F59" w14:textId="77777777" w:rsidR="008B1FF5" w:rsidRDefault="008B1FF5">
            <w:pPr>
              <w:pStyle w:val="TableText"/>
            </w:pPr>
          </w:p>
        </w:tc>
        <w:tc>
          <w:tcPr>
            <w:tcW w:w="624" w:type="dxa"/>
          </w:tcPr>
          <w:p w14:paraId="747650EC" w14:textId="2E5FAD3A" w:rsidR="008B1FF5" w:rsidRDefault="008B1FF5">
            <w:pPr>
              <w:pStyle w:val="TableText"/>
            </w:pPr>
            <w:r>
              <w:rPr>
                <w:rFonts w:hint="cs"/>
                <w:rtl/>
              </w:rPr>
              <w:t>"(6)</w:t>
            </w:r>
          </w:p>
        </w:tc>
        <w:tc>
          <w:tcPr>
            <w:tcW w:w="6522" w:type="dxa"/>
          </w:tcPr>
          <w:p w14:paraId="7A0B5488" w14:textId="79F9B4DE" w:rsidR="008B1FF5" w:rsidRDefault="008B1FF5" w:rsidP="00B354DB">
            <w:pPr>
              <w:pStyle w:val="TableBlock"/>
            </w:pPr>
            <w:r>
              <w:rPr>
                <w:rFonts w:hint="cs"/>
                <w:rtl/>
              </w:rPr>
              <w:t>(א)</w:t>
            </w:r>
            <w:r>
              <w:rPr>
                <w:rtl/>
              </w:rPr>
              <w:tab/>
            </w:r>
            <w:r w:rsidRPr="007B012C">
              <w:rPr>
                <w:rtl/>
              </w:rPr>
              <w:t>הגבלת החייב מקבל, מהחזיק או מחדש רישיון נהיגה</w:t>
            </w:r>
            <w:r>
              <w:rPr>
                <w:rFonts w:hint="cs"/>
                <w:rtl/>
              </w:rPr>
              <w:t>;</w:t>
            </w:r>
            <w:r w:rsidRPr="007B012C">
              <w:rPr>
                <w:rtl/>
              </w:rPr>
              <w:t xml:space="preserve"> הגבלה זו לא תוטל אלא לאחר ש</w:t>
            </w:r>
            <w:r w:rsidR="002B22AD">
              <w:rPr>
                <w:rFonts w:hint="cs"/>
                <w:rtl/>
              </w:rPr>
              <w:t xml:space="preserve">התקיים דיון במעמד שני </w:t>
            </w:r>
            <w:r w:rsidRPr="007B012C">
              <w:rPr>
                <w:rtl/>
              </w:rPr>
              <w:t>הצדדים בפני</w:t>
            </w:r>
            <w:r w:rsidRPr="007B012C">
              <w:rPr>
                <w:rFonts w:hint="cs"/>
                <w:rtl/>
              </w:rPr>
              <w:t xml:space="preserve"> רשם ההוצאה לפועל</w:t>
            </w:r>
            <w:r w:rsidRPr="00117EFD">
              <w:rPr>
                <w:rFonts w:hint="cs"/>
                <w:rtl/>
              </w:rPr>
              <w:t>,</w:t>
            </w:r>
            <w:r w:rsidRPr="007B012C">
              <w:rPr>
                <w:rtl/>
              </w:rPr>
              <w:t xml:space="preserve"> </w:t>
            </w:r>
            <w:r w:rsidR="00B354DB">
              <w:rPr>
                <w:rFonts w:hint="cs"/>
                <w:rtl/>
              </w:rPr>
              <w:t>במהלכו השתכנע</w:t>
            </w:r>
            <w:r w:rsidRPr="007B012C">
              <w:rPr>
                <w:rFonts w:hint="cs"/>
                <w:rtl/>
              </w:rPr>
              <w:t xml:space="preserve"> רשם ההוצאה לפועל</w:t>
            </w:r>
            <w:r w:rsidR="002B22AD">
              <w:rPr>
                <w:rFonts w:hint="cs"/>
                <w:rtl/>
              </w:rPr>
              <w:t xml:space="preserve"> לאחר בדיקה שערך,</w:t>
            </w:r>
            <w:r w:rsidRPr="007B012C">
              <w:rPr>
                <w:rFonts w:hint="cs"/>
                <w:rtl/>
              </w:rPr>
              <w:t xml:space="preserve"> כי הטלת ההגבלה </w:t>
            </w:r>
            <w:r>
              <w:rPr>
                <w:rFonts w:hint="cs"/>
                <w:rtl/>
              </w:rPr>
              <w:t>לא פוגעת</w:t>
            </w:r>
            <w:r w:rsidRPr="007B012C">
              <w:rPr>
                <w:rFonts w:hint="cs"/>
                <w:rtl/>
              </w:rPr>
              <w:t xml:space="preserve"> פגיעה ממשית בעיסוק</w:t>
            </w:r>
            <w:r w:rsidR="002B22AD">
              <w:rPr>
                <w:rFonts w:hint="cs"/>
                <w:rtl/>
              </w:rPr>
              <w:t xml:space="preserve">ו </w:t>
            </w:r>
            <w:r w:rsidRPr="007B012C">
              <w:rPr>
                <w:rFonts w:hint="cs"/>
                <w:rtl/>
              </w:rPr>
              <w:t>של החייב וביכולתו לשלם את החוב או שר</w:t>
            </w:r>
            <w:r>
              <w:rPr>
                <w:rFonts w:hint="cs"/>
                <w:rtl/>
              </w:rPr>
              <w:t>י</w:t>
            </w:r>
            <w:r w:rsidRPr="007B012C">
              <w:rPr>
                <w:rFonts w:hint="cs"/>
                <w:rtl/>
              </w:rPr>
              <w:t>שיון הנהיגה</w:t>
            </w:r>
            <w:r>
              <w:rPr>
                <w:rFonts w:hint="cs"/>
                <w:rtl/>
              </w:rPr>
              <w:t xml:space="preserve"> אינו</w:t>
            </w:r>
            <w:r w:rsidRPr="007B012C">
              <w:rPr>
                <w:rFonts w:hint="cs"/>
                <w:rtl/>
              </w:rPr>
              <w:t xml:space="preserve"> חיוני לחייב </w:t>
            </w:r>
            <w:r w:rsidRPr="007B012C">
              <w:rPr>
                <w:rtl/>
              </w:rPr>
              <w:t>עקב נכותו או עקב נכות בן משפחה התלוי בו; לעניין זה יראו את מי שהוטלה עליו הגבלה מהחזיק רישיון נהיגה כמי שרישיון הנהיגה שלו פקע מחמת אי</w:t>
            </w:r>
            <w:r>
              <w:rPr>
                <w:rFonts w:hint="cs"/>
                <w:rtl/>
              </w:rPr>
              <w:t>-</w:t>
            </w:r>
            <w:r w:rsidR="00F536A9">
              <w:rPr>
                <w:rtl/>
              </w:rPr>
              <w:t>תשלום אגרה</w:t>
            </w:r>
            <w:r w:rsidR="00F536A9">
              <w:rPr>
                <w:rFonts w:hint="cs"/>
                <w:rtl/>
              </w:rPr>
              <w:t>.</w:t>
            </w:r>
          </w:p>
        </w:tc>
      </w:tr>
      <w:tr w:rsidR="00F536A9" w14:paraId="60A7711D" w14:textId="77777777">
        <w:trPr>
          <w:cantSplit/>
          <w:trHeight w:val="60"/>
        </w:trPr>
        <w:tc>
          <w:tcPr>
            <w:tcW w:w="1871" w:type="dxa"/>
          </w:tcPr>
          <w:p w14:paraId="40FA0B84" w14:textId="77777777" w:rsidR="00F536A9" w:rsidRDefault="00F536A9">
            <w:pPr>
              <w:pStyle w:val="TableSideHeading"/>
            </w:pPr>
          </w:p>
        </w:tc>
        <w:tc>
          <w:tcPr>
            <w:tcW w:w="624" w:type="dxa"/>
          </w:tcPr>
          <w:p w14:paraId="5398AA3B" w14:textId="77777777" w:rsidR="00F536A9" w:rsidRDefault="00F536A9">
            <w:pPr>
              <w:pStyle w:val="TableText"/>
            </w:pPr>
          </w:p>
        </w:tc>
        <w:tc>
          <w:tcPr>
            <w:tcW w:w="624" w:type="dxa"/>
          </w:tcPr>
          <w:p w14:paraId="22C78D20" w14:textId="77777777" w:rsidR="00F536A9" w:rsidRDefault="00F536A9">
            <w:pPr>
              <w:pStyle w:val="TableText"/>
              <w:rPr>
                <w:rtl/>
              </w:rPr>
            </w:pPr>
          </w:p>
        </w:tc>
        <w:tc>
          <w:tcPr>
            <w:tcW w:w="6522" w:type="dxa"/>
          </w:tcPr>
          <w:p w14:paraId="5C7DC97C" w14:textId="58501309" w:rsidR="00F536A9" w:rsidRDefault="00F536A9" w:rsidP="00F57851">
            <w:pPr>
              <w:pStyle w:val="TableBlock"/>
              <w:rPr>
                <w:rtl/>
              </w:rPr>
            </w:pPr>
            <w:r>
              <w:rPr>
                <w:rFonts w:hint="cs"/>
                <w:rtl/>
              </w:rPr>
              <w:t>(ב)</w:t>
            </w:r>
            <w:r>
              <w:rPr>
                <w:rtl/>
              </w:rPr>
              <w:tab/>
            </w:r>
            <w:r>
              <w:rPr>
                <w:rFonts w:hint="cs"/>
                <w:rtl/>
              </w:rPr>
              <w:t xml:space="preserve">לא יטיל רשם ההוצאה לפועל הגבלה כאמור בסעיף קטן (א) אם </w:t>
            </w:r>
            <w:r>
              <w:rPr>
                <w:rFonts w:hint="cs"/>
                <w:sz w:val="26"/>
                <w:rtl/>
              </w:rPr>
              <w:t xml:space="preserve">מצא </w:t>
            </w:r>
            <w:r>
              <w:rPr>
                <w:sz w:val="26"/>
                <w:rtl/>
              </w:rPr>
              <w:t xml:space="preserve">שהחייב מועסק כנהג או עוסק כעוסק מורשה כנהג; שר המשפטים, בהתייעצות עם ועדת </w:t>
            </w:r>
            <w:r w:rsidR="00F57851">
              <w:rPr>
                <w:rFonts w:hint="cs"/>
                <w:sz w:val="26"/>
                <w:rtl/>
              </w:rPr>
              <w:t>ה</w:t>
            </w:r>
            <w:r>
              <w:rPr>
                <w:sz w:val="26"/>
                <w:rtl/>
              </w:rPr>
              <w:t>חוקה</w:t>
            </w:r>
            <w:r w:rsidR="00F57851">
              <w:rPr>
                <w:rFonts w:hint="cs"/>
                <w:sz w:val="26"/>
                <w:rtl/>
              </w:rPr>
              <w:t>,</w:t>
            </w:r>
            <w:r w:rsidR="0055769C">
              <w:rPr>
                <w:sz w:val="26"/>
                <w:rtl/>
              </w:rPr>
              <w:t xml:space="preserve"> חוק ומשפט של הכנסת, יקבע רשימ</w:t>
            </w:r>
            <w:r w:rsidR="0055769C">
              <w:rPr>
                <w:rFonts w:hint="cs"/>
                <w:sz w:val="26"/>
                <w:rtl/>
              </w:rPr>
              <w:t>ה של</w:t>
            </w:r>
            <w:r>
              <w:rPr>
                <w:sz w:val="26"/>
                <w:rtl/>
              </w:rPr>
              <w:t xml:space="preserve"> </w:t>
            </w:r>
            <w:r w:rsidR="0055769C">
              <w:rPr>
                <w:rFonts w:hint="cs"/>
                <w:sz w:val="26"/>
                <w:rtl/>
              </w:rPr>
              <w:t xml:space="preserve"> </w:t>
            </w:r>
            <w:r>
              <w:rPr>
                <w:sz w:val="26"/>
                <w:rtl/>
              </w:rPr>
              <w:t>מקצועות</w:t>
            </w:r>
            <w:r w:rsidR="0055769C">
              <w:rPr>
                <w:rFonts w:hint="cs"/>
                <w:sz w:val="26"/>
                <w:rtl/>
              </w:rPr>
              <w:t xml:space="preserve"> נוספים</w:t>
            </w:r>
            <w:r>
              <w:rPr>
                <w:sz w:val="26"/>
                <w:rtl/>
              </w:rPr>
              <w:t xml:space="preserve"> שעל העוסקים בהם לא ניתן יהיה להטיל את ההגבלה כאמור</w:t>
            </w:r>
            <w:r>
              <w:rPr>
                <w:rFonts w:hint="cs"/>
                <w:rtl/>
              </w:rPr>
              <w:t>.</w:t>
            </w:r>
          </w:p>
        </w:tc>
      </w:tr>
      <w:tr w:rsidR="00477DF6" w14:paraId="3A8095AE" w14:textId="77777777">
        <w:trPr>
          <w:cantSplit/>
          <w:trHeight w:val="60"/>
        </w:trPr>
        <w:tc>
          <w:tcPr>
            <w:tcW w:w="1871" w:type="dxa"/>
          </w:tcPr>
          <w:p w14:paraId="7B402663" w14:textId="77777777" w:rsidR="00477DF6" w:rsidDel="00477DF6" w:rsidRDefault="00477DF6">
            <w:pPr>
              <w:pStyle w:val="TableSideHeading"/>
              <w:rPr>
                <w:rtl/>
              </w:rPr>
            </w:pPr>
          </w:p>
        </w:tc>
        <w:tc>
          <w:tcPr>
            <w:tcW w:w="624" w:type="dxa"/>
          </w:tcPr>
          <w:p w14:paraId="670D9002" w14:textId="77777777" w:rsidR="00477DF6" w:rsidRDefault="00477DF6">
            <w:pPr>
              <w:pStyle w:val="TableText"/>
            </w:pPr>
          </w:p>
        </w:tc>
        <w:tc>
          <w:tcPr>
            <w:tcW w:w="624" w:type="dxa"/>
          </w:tcPr>
          <w:p w14:paraId="0E5A9A3C" w14:textId="77777777" w:rsidR="00477DF6" w:rsidRDefault="00477DF6">
            <w:pPr>
              <w:pStyle w:val="TableText"/>
            </w:pPr>
          </w:p>
        </w:tc>
        <w:tc>
          <w:tcPr>
            <w:tcW w:w="6522" w:type="dxa"/>
          </w:tcPr>
          <w:p w14:paraId="44DBACCA" w14:textId="7B666CC4" w:rsidR="00477DF6" w:rsidRDefault="00F536A9" w:rsidP="00F57851">
            <w:pPr>
              <w:pStyle w:val="TableSideHeading"/>
              <w:keepLines w:val="0"/>
              <w:jc w:val="both"/>
              <w:rPr>
                <w:rtl/>
              </w:rPr>
            </w:pPr>
            <w:r>
              <w:rPr>
                <w:rFonts w:hint="cs"/>
                <w:rtl/>
              </w:rPr>
              <w:t>(ג</w:t>
            </w:r>
            <w:r w:rsidR="00477DF6">
              <w:rPr>
                <w:rFonts w:hint="cs"/>
                <w:rtl/>
              </w:rPr>
              <w:t>)</w:t>
            </w:r>
            <w:r w:rsidR="00477DF6">
              <w:rPr>
                <w:rtl/>
              </w:rPr>
              <w:tab/>
            </w:r>
            <w:r w:rsidR="002B22AD">
              <w:rPr>
                <w:rtl/>
              </w:rPr>
              <w:t>הזמנה</w:t>
            </w:r>
            <w:r w:rsidR="002B22AD">
              <w:rPr>
                <w:rFonts w:hint="cs"/>
                <w:rtl/>
              </w:rPr>
              <w:t xml:space="preserve"> לדיון כאמור בסעיף קטן (א</w:t>
            </w:r>
            <w:r w:rsidR="00B354DB">
              <w:rPr>
                <w:rFonts w:hint="cs"/>
                <w:rtl/>
              </w:rPr>
              <w:t>) ת</w:t>
            </w:r>
            <w:r w:rsidR="00F57851">
              <w:rPr>
                <w:rFonts w:hint="cs"/>
                <w:rtl/>
              </w:rPr>
              <w:t>נוסח בלשון</w:t>
            </w:r>
            <w:r w:rsidR="00B354DB">
              <w:rPr>
                <w:rFonts w:hint="cs"/>
                <w:rtl/>
              </w:rPr>
              <w:t xml:space="preserve"> פשוטה וברורה, ו</w:t>
            </w:r>
            <w:r w:rsidR="002B22AD">
              <w:rPr>
                <w:rFonts w:hint="cs"/>
                <w:rtl/>
              </w:rPr>
              <w:t>תומצא לצדדים</w:t>
            </w:r>
            <w:r w:rsidR="002B22AD" w:rsidRPr="001F0F1D">
              <w:rPr>
                <w:rtl/>
              </w:rPr>
              <w:t xml:space="preserve"> ב</w:t>
            </w:r>
            <w:r w:rsidR="00B354DB">
              <w:rPr>
                <w:rFonts w:hint="cs"/>
                <w:rtl/>
              </w:rPr>
              <w:t xml:space="preserve">דרך של </w:t>
            </w:r>
            <w:r w:rsidR="002B22AD" w:rsidRPr="001F0F1D">
              <w:rPr>
                <w:rtl/>
              </w:rPr>
              <w:t>המצאה מלא</w:t>
            </w:r>
            <w:r w:rsidR="002B22AD" w:rsidRPr="001F0F1D">
              <w:rPr>
                <w:rFonts w:hint="eastAsia"/>
                <w:rtl/>
              </w:rPr>
              <w:t>ה</w:t>
            </w:r>
            <w:r w:rsidR="00B354DB">
              <w:rPr>
                <w:rFonts w:hint="cs"/>
                <w:rtl/>
              </w:rPr>
              <w:t xml:space="preserve">; בהזמנה </w:t>
            </w:r>
            <w:r w:rsidR="00477DF6" w:rsidRPr="007B012C">
              <w:rPr>
                <w:rtl/>
              </w:rPr>
              <w:t xml:space="preserve">יצוין כי החייב רשאי לבקש </w:t>
            </w:r>
            <w:r w:rsidR="008B1FF5">
              <w:rPr>
                <w:rFonts w:hint="cs"/>
                <w:rtl/>
              </w:rPr>
              <w:t>דחיית</w:t>
            </w:r>
            <w:r w:rsidR="009940F8">
              <w:rPr>
                <w:rFonts w:hint="cs"/>
                <w:rtl/>
              </w:rPr>
              <w:t xml:space="preserve"> </w:t>
            </w:r>
            <w:r w:rsidR="009940F8" w:rsidRPr="00F536A9">
              <w:rPr>
                <w:rFonts w:hint="cs"/>
                <w:rtl/>
              </w:rPr>
              <w:t>הדיון</w:t>
            </w:r>
            <w:r w:rsidR="00477DF6" w:rsidRPr="00F536A9">
              <w:rPr>
                <w:rtl/>
              </w:rPr>
              <w:t xml:space="preserve"> כדי למנות לעצמו עו</w:t>
            </w:r>
            <w:r w:rsidR="009940F8" w:rsidRPr="00F536A9">
              <w:rPr>
                <w:rFonts w:hint="cs"/>
                <w:rtl/>
              </w:rPr>
              <w:t xml:space="preserve">רך </w:t>
            </w:r>
            <w:r w:rsidR="00477DF6" w:rsidRPr="00F536A9">
              <w:rPr>
                <w:rtl/>
              </w:rPr>
              <w:t>ד</w:t>
            </w:r>
            <w:r w:rsidR="009940F8" w:rsidRPr="00F536A9">
              <w:rPr>
                <w:rFonts w:hint="cs"/>
                <w:rtl/>
              </w:rPr>
              <w:t>ין</w:t>
            </w:r>
            <w:r w:rsidR="00477DF6" w:rsidRPr="00F536A9">
              <w:rPr>
                <w:rtl/>
              </w:rPr>
              <w:t xml:space="preserve"> או כדי לקבל ייצוג לפי הוראות חוק הסיוע המשפטי</w:t>
            </w:r>
            <w:r w:rsidR="00B354DB" w:rsidRPr="00F536A9">
              <w:rPr>
                <w:rFonts w:hint="cs"/>
                <w:rtl/>
              </w:rPr>
              <w:t xml:space="preserve"> </w:t>
            </w:r>
            <w:r w:rsidR="00B354DB" w:rsidRPr="00F536A9">
              <w:rPr>
                <w:rStyle w:val="default"/>
                <w:rFonts w:hint="cs"/>
                <w:rtl/>
              </w:rPr>
              <w:t>אם הוא זכאי לכך לפי הוראות אותו חוק; בהזמנה ייכלל מידע בדבר האפשרויות למינוי עורך דין לפי הוראות חוק הסיוע המשפטי.</w:t>
            </w:r>
            <w:r w:rsidR="00B354DB" w:rsidRPr="00F536A9">
              <w:rPr>
                <w:rFonts w:hint="cs"/>
                <w:rtl/>
              </w:rPr>
              <w:t>"</w:t>
            </w:r>
          </w:p>
        </w:tc>
      </w:tr>
    </w:tbl>
    <w:p w14:paraId="7F6961CA" w14:textId="77777777" w:rsidR="002D1EE3" w:rsidRDefault="002D1EE3" w:rsidP="002D1EE3">
      <w:pPr>
        <w:pStyle w:val="HeadDivreiHesber"/>
        <w:rPr>
          <w:rtl/>
        </w:rPr>
      </w:pPr>
      <w:r w:rsidRPr="0027450A">
        <w:rPr>
          <w:rFonts w:hint="cs"/>
          <w:rtl/>
        </w:rPr>
        <w:lastRenderedPageBreak/>
        <w:t>דברי הסבר</w:t>
      </w:r>
    </w:p>
    <w:p w14:paraId="415EC14C" w14:textId="60DB1828" w:rsidR="007B012C" w:rsidRPr="007B012C" w:rsidRDefault="007B012C" w:rsidP="009E2A46">
      <w:pPr>
        <w:pStyle w:val="Hesber"/>
        <w:rPr>
          <w:rtl/>
        </w:rPr>
      </w:pPr>
      <w:r w:rsidRPr="007B012C">
        <w:rPr>
          <w:rtl/>
        </w:rPr>
        <w:t>בחוק ההוצאה לפועל, התשכ"ז–1967</w:t>
      </w:r>
      <w:r w:rsidR="00842A02">
        <w:rPr>
          <w:rFonts w:hint="cs"/>
          <w:rtl/>
        </w:rPr>
        <w:t xml:space="preserve"> (להלן </w:t>
      </w:r>
      <w:r w:rsidR="00842A02">
        <w:rPr>
          <w:rtl/>
        </w:rPr>
        <w:t>–</w:t>
      </w:r>
      <w:r w:rsidR="00842A02">
        <w:rPr>
          <w:rFonts w:hint="cs"/>
          <w:rtl/>
        </w:rPr>
        <w:t xml:space="preserve"> החוק)</w:t>
      </w:r>
      <w:r w:rsidRPr="007B012C">
        <w:rPr>
          <w:rtl/>
        </w:rPr>
        <w:t xml:space="preserve">, נקבעו מגבלות שניתן להטיל על חייבים </w:t>
      </w:r>
      <w:r w:rsidR="00842A02">
        <w:rPr>
          <w:rFonts w:hint="cs"/>
          <w:rtl/>
        </w:rPr>
        <w:t xml:space="preserve">שנועדו </w:t>
      </w:r>
      <w:r w:rsidR="00F57851">
        <w:rPr>
          <w:rFonts w:hint="cs"/>
          <w:rtl/>
        </w:rPr>
        <w:t>לעודד אותם</w:t>
      </w:r>
      <w:r w:rsidR="00F57851">
        <w:rPr>
          <w:rtl/>
        </w:rPr>
        <w:t xml:space="preserve"> לשלם את חובם</w:t>
      </w:r>
      <w:r w:rsidR="00F57851">
        <w:rPr>
          <w:rFonts w:hint="cs"/>
          <w:rtl/>
        </w:rPr>
        <w:t>.</w:t>
      </w:r>
      <w:r w:rsidR="00F57851">
        <w:rPr>
          <w:rtl/>
        </w:rPr>
        <w:t xml:space="preserve"> </w:t>
      </w:r>
      <w:r w:rsidRPr="007B012C">
        <w:rPr>
          <w:rtl/>
        </w:rPr>
        <w:t>ביניהן</w:t>
      </w:r>
      <w:r w:rsidR="00F57851">
        <w:rPr>
          <w:rFonts w:hint="cs"/>
          <w:rtl/>
        </w:rPr>
        <w:t>,</w:t>
      </w:r>
      <w:r w:rsidRPr="007B012C">
        <w:rPr>
          <w:rtl/>
        </w:rPr>
        <w:t xml:space="preserve"> הגבלת חייבים מ</w:t>
      </w:r>
      <w:r w:rsidR="00842A02">
        <w:rPr>
          <w:rFonts w:hint="cs"/>
          <w:rtl/>
        </w:rPr>
        <w:t xml:space="preserve">לקבל, </w:t>
      </w:r>
      <w:r w:rsidRPr="007B012C">
        <w:rPr>
          <w:rtl/>
        </w:rPr>
        <w:t xml:space="preserve">להחזיק או לחדש רישיון נהיגה. </w:t>
      </w:r>
      <w:r w:rsidR="00F57851">
        <w:rPr>
          <w:rFonts w:hint="cs"/>
          <w:rtl/>
        </w:rPr>
        <w:t xml:space="preserve">בפועל, </w:t>
      </w:r>
      <w:r w:rsidRPr="007B012C">
        <w:rPr>
          <w:rtl/>
        </w:rPr>
        <w:t>זוכים</w:t>
      </w:r>
      <w:r w:rsidR="00F57851">
        <w:rPr>
          <w:rFonts w:hint="cs"/>
          <w:rtl/>
        </w:rPr>
        <w:t xml:space="preserve"> בתיקי חוב</w:t>
      </w:r>
      <w:r w:rsidRPr="007B012C">
        <w:rPr>
          <w:rtl/>
        </w:rPr>
        <w:t xml:space="preserve"> מבקשים מרשמי ההוצאה לפועל להחיל הגבלה זו כדבר שבשגרה, ובקשות אלה לרוב מאושרות.  </w:t>
      </w:r>
    </w:p>
    <w:p w14:paraId="55244532" w14:textId="659F730B" w:rsidR="007B012C" w:rsidRPr="007B012C" w:rsidRDefault="00842A02" w:rsidP="00AC32E1">
      <w:pPr>
        <w:pStyle w:val="Hesber"/>
        <w:rPr>
          <w:rtl/>
        </w:rPr>
      </w:pPr>
      <w:r>
        <w:rPr>
          <w:rFonts w:hint="cs"/>
          <w:rtl/>
        </w:rPr>
        <w:t>בעייתיות רבה מתעוררת</w:t>
      </w:r>
      <w:r w:rsidR="007B012C" w:rsidRPr="007B012C">
        <w:rPr>
          <w:rFonts w:hint="cs"/>
          <w:rtl/>
        </w:rPr>
        <w:t xml:space="preserve"> </w:t>
      </w:r>
      <w:r w:rsidR="00F57851">
        <w:rPr>
          <w:rFonts w:hint="cs"/>
          <w:rtl/>
        </w:rPr>
        <w:t>מהקלות</w:t>
      </w:r>
      <w:r w:rsidRPr="007B012C">
        <w:rPr>
          <w:rFonts w:hint="cs"/>
          <w:rtl/>
        </w:rPr>
        <w:t xml:space="preserve"> </w:t>
      </w:r>
      <w:r>
        <w:rPr>
          <w:rFonts w:hint="cs"/>
          <w:rtl/>
        </w:rPr>
        <w:t>ש</w:t>
      </w:r>
      <w:r w:rsidR="00F57851">
        <w:rPr>
          <w:rFonts w:hint="cs"/>
          <w:rtl/>
        </w:rPr>
        <w:t xml:space="preserve">בה </w:t>
      </w:r>
      <w:r>
        <w:rPr>
          <w:rFonts w:hint="cs"/>
          <w:rtl/>
        </w:rPr>
        <w:t xml:space="preserve">ניתן </w:t>
      </w:r>
      <w:r w:rsidR="007B012C" w:rsidRPr="007B012C">
        <w:rPr>
          <w:rFonts w:hint="cs"/>
          <w:rtl/>
        </w:rPr>
        <w:t>להטיל מגבלה על ר</w:t>
      </w:r>
      <w:r w:rsidR="007B012C">
        <w:rPr>
          <w:rFonts w:hint="cs"/>
          <w:rtl/>
        </w:rPr>
        <w:t>י</w:t>
      </w:r>
      <w:r w:rsidR="007B012C" w:rsidRPr="007B012C">
        <w:rPr>
          <w:rFonts w:hint="cs"/>
          <w:rtl/>
        </w:rPr>
        <w:t xml:space="preserve">שיון נהיגה. </w:t>
      </w:r>
      <w:r w:rsidR="00AC32E1">
        <w:rPr>
          <w:rFonts w:hint="cs"/>
          <w:rtl/>
        </w:rPr>
        <w:t xml:space="preserve">הדבר מהווה גזירה קשה בייחוד </w:t>
      </w:r>
      <w:r w:rsidR="007B012C" w:rsidRPr="007B012C">
        <w:rPr>
          <w:rFonts w:hint="cs"/>
          <w:rtl/>
        </w:rPr>
        <w:t>כשמדובר באנשים בעלי מוגבלות הזקוקים לרכבם לצורך התנ</w:t>
      </w:r>
      <w:r>
        <w:rPr>
          <w:rFonts w:hint="cs"/>
          <w:rtl/>
        </w:rPr>
        <w:t>י</w:t>
      </w:r>
      <w:r w:rsidR="007B012C" w:rsidRPr="007B012C">
        <w:rPr>
          <w:rFonts w:hint="cs"/>
          <w:rtl/>
        </w:rPr>
        <w:t>ידות יום</w:t>
      </w:r>
      <w:r w:rsidR="00AC32E1">
        <w:rPr>
          <w:rFonts w:hint="cs"/>
          <w:rtl/>
        </w:rPr>
        <w:t>-</w:t>
      </w:r>
      <w:r w:rsidR="007B012C" w:rsidRPr="007B012C">
        <w:rPr>
          <w:rFonts w:hint="cs"/>
          <w:rtl/>
        </w:rPr>
        <w:t>יומית שלהם או של בן משפחתם</w:t>
      </w:r>
      <w:r w:rsidR="00477DF6">
        <w:rPr>
          <w:rFonts w:hint="cs"/>
          <w:rtl/>
        </w:rPr>
        <w:t>,</w:t>
      </w:r>
      <w:r w:rsidR="007B012C" w:rsidRPr="007B012C">
        <w:rPr>
          <w:rFonts w:hint="cs"/>
          <w:rtl/>
        </w:rPr>
        <w:t xml:space="preserve"> או</w:t>
      </w:r>
      <w:r w:rsidR="007B012C">
        <w:rPr>
          <w:rFonts w:hint="cs"/>
          <w:rtl/>
        </w:rPr>
        <w:t xml:space="preserve"> </w:t>
      </w:r>
      <w:r w:rsidR="00F57851">
        <w:rPr>
          <w:rFonts w:hint="cs"/>
          <w:rtl/>
        </w:rPr>
        <w:t>כאשר</w:t>
      </w:r>
      <w:r w:rsidR="007B012C">
        <w:rPr>
          <w:rFonts w:hint="cs"/>
          <w:rtl/>
        </w:rPr>
        <w:t xml:space="preserve"> פרנסתם </w:t>
      </w:r>
      <w:r w:rsidR="00F57851">
        <w:rPr>
          <w:rFonts w:hint="cs"/>
          <w:rtl/>
        </w:rPr>
        <w:t xml:space="preserve">של החייבים </w:t>
      </w:r>
      <w:r w:rsidR="007B012C">
        <w:rPr>
          <w:rFonts w:hint="cs"/>
          <w:rtl/>
        </w:rPr>
        <w:t>תלו</w:t>
      </w:r>
      <w:r w:rsidR="007B012C" w:rsidRPr="007B012C">
        <w:rPr>
          <w:rFonts w:hint="cs"/>
          <w:rtl/>
        </w:rPr>
        <w:t>יה ברכבם</w:t>
      </w:r>
      <w:r w:rsidR="00AC32E1">
        <w:rPr>
          <w:rFonts w:hint="cs"/>
          <w:rtl/>
        </w:rPr>
        <w:t>. יותר מכך, בהטלת המגבלה נפגעת יכולת החייבים להחזיר את חובם.</w:t>
      </w:r>
    </w:p>
    <w:p w14:paraId="33E02DDD" w14:textId="77777777" w:rsidR="00AC32E1" w:rsidRDefault="007B012C" w:rsidP="00AC32E1">
      <w:pPr>
        <w:pStyle w:val="Hesber"/>
        <w:rPr>
          <w:rtl/>
        </w:rPr>
      </w:pPr>
      <w:r w:rsidRPr="007B012C">
        <w:rPr>
          <w:rtl/>
        </w:rPr>
        <w:t xml:space="preserve">החוק מאפשר לרשם ההוצאה לפועל שלא להטיל את ההגבלה אם שוכנע כי הטלתה אינה מוצדקת, עלולה לפגוע פגיעה ממשית בעיסוקו של החייב וביכולתו לשלם את החוב או שהרישיון חיוני לחייב עקב נכותו או נכות בן משפחתו התלוי בו. </w:t>
      </w:r>
      <w:r w:rsidR="00AC32E1">
        <w:rPr>
          <w:rFonts w:hint="cs"/>
          <w:rtl/>
        </w:rPr>
        <w:t>לשם כך</w:t>
      </w:r>
      <w:r w:rsidRPr="007B012C">
        <w:rPr>
          <w:rtl/>
        </w:rPr>
        <w:t xml:space="preserve">, </w:t>
      </w:r>
      <w:r w:rsidR="00AC32E1" w:rsidRPr="007B012C">
        <w:rPr>
          <w:rtl/>
        </w:rPr>
        <w:t xml:space="preserve">נדרש </w:t>
      </w:r>
      <w:r w:rsidRPr="007B012C">
        <w:rPr>
          <w:rtl/>
        </w:rPr>
        <w:t>החייב להגיש בקשה מנומקת</w:t>
      </w:r>
      <w:r w:rsidR="00AC32E1">
        <w:rPr>
          <w:rFonts w:hint="cs"/>
          <w:rtl/>
        </w:rPr>
        <w:t>, מגובה בניירת רבה,</w:t>
      </w:r>
      <w:r w:rsidRPr="007B012C">
        <w:rPr>
          <w:rtl/>
        </w:rPr>
        <w:t xml:space="preserve"> </w:t>
      </w:r>
      <w:r w:rsidR="00AC32E1">
        <w:rPr>
          <w:rFonts w:hint="cs"/>
          <w:rtl/>
        </w:rPr>
        <w:t>שתוכיח כי</w:t>
      </w:r>
      <w:r w:rsidRPr="007B012C">
        <w:rPr>
          <w:rtl/>
        </w:rPr>
        <w:t xml:space="preserve"> </w:t>
      </w:r>
      <w:r w:rsidR="00AC32E1" w:rsidRPr="007B012C">
        <w:rPr>
          <w:rtl/>
        </w:rPr>
        <w:t xml:space="preserve">הפגיעה </w:t>
      </w:r>
      <w:r w:rsidR="00AC32E1">
        <w:rPr>
          <w:rFonts w:hint="cs"/>
          <w:rtl/>
        </w:rPr>
        <w:t xml:space="preserve">אכן </w:t>
      </w:r>
      <w:r w:rsidR="00AC32E1" w:rsidRPr="007B012C">
        <w:rPr>
          <w:rtl/>
        </w:rPr>
        <w:t>אינה מוצדקת</w:t>
      </w:r>
      <w:r w:rsidRPr="007B012C">
        <w:rPr>
          <w:rtl/>
        </w:rPr>
        <w:t>. הגשת בקשה זו מאלצת חייבים רבים לשכור את שירותיו של עורך דין</w:t>
      </w:r>
      <w:r w:rsidR="00AC32E1">
        <w:rPr>
          <w:rtl/>
        </w:rPr>
        <w:t xml:space="preserve"> שייצג נאמנה את טענותיהם, </w:t>
      </w:r>
      <w:r w:rsidRPr="007B012C">
        <w:rPr>
          <w:rtl/>
        </w:rPr>
        <w:t xml:space="preserve">דבר מהווה נטל כספי נוסף על החייב המתקשה בתשלום חובותיו. </w:t>
      </w:r>
    </w:p>
    <w:p w14:paraId="3626FBAB" w14:textId="508F358F" w:rsidR="00B41457" w:rsidRDefault="007B012C" w:rsidP="0055769C">
      <w:pPr>
        <w:pStyle w:val="Hesber"/>
        <w:rPr>
          <w:rtl/>
        </w:rPr>
      </w:pPr>
      <w:r w:rsidRPr="00223867">
        <w:rPr>
          <w:rFonts w:hint="cs"/>
          <w:rtl/>
        </w:rPr>
        <w:t xml:space="preserve">הצעת החוק </w:t>
      </w:r>
      <w:r w:rsidR="00477DF6" w:rsidRPr="00223867">
        <w:rPr>
          <w:rFonts w:hint="cs"/>
          <w:rtl/>
        </w:rPr>
        <w:t xml:space="preserve">נועדה </w:t>
      </w:r>
      <w:r w:rsidRPr="00AB7EB0">
        <w:rPr>
          <w:rFonts w:hint="cs"/>
          <w:rtl/>
        </w:rPr>
        <w:t xml:space="preserve">לאזן בין זכויות החייב </w:t>
      </w:r>
      <w:r w:rsidR="00AC32E1">
        <w:rPr>
          <w:rFonts w:hint="cs"/>
          <w:rtl/>
        </w:rPr>
        <w:t>ו</w:t>
      </w:r>
      <w:r w:rsidRPr="00AB7EB0">
        <w:rPr>
          <w:rFonts w:hint="cs"/>
          <w:rtl/>
        </w:rPr>
        <w:t>הזוכה</w:t>
      </w:r>
      <w:r w:rsidR="00477DF6" w:rsidRPr="00AB7EB0">
        <w:rPr>
          <w:rFonts w:hint="cs"/>
          <w:rtl/>
        </w:rPr>
        <w:t>,</w:t>
      </w:r>
      <w:r w:rsidRPr="00223867">
        <w:rPr>
          <w:rtl/>
        </w:rPr>
        <w:t xml:space="preserve"> </w:t>
      </w:r>
      <w:r w:rsidR="00842A02" w:rsidRPr="00223867">
        <w:rPr>
          <w:rFonts w:hint="eastAsia"/>
          <w:rtl/>
        </w:rPr>
        <w:t>ולוודא</w:t>
      </w:r>
      <w:r w:rsidR="00842A02" w:rsidRPr="00223867">
        <w:rPr>
          <w:rtl/>
        </w:rPr>
        <w:t xml:space="preserve"> כי </w:t>
      </w:r>
      <w:r w:rsidRPr="00223867">
        <w:rPr>
          <w:rFonts w:hint="eastAsia"/>
          <w:rtl/>
        </w:rPr>
        <w:t>הטלת</w:t>
      </w:r>
      <w:r w:rsidRPr="00223867">
        <w:rPr>
          <w:rtl/>
        </w:rPr>
        <w:t xml:space="preserve"> </w:t>
      </w:r>
      <w:r w:rsidRPr="00223867">
        <w:rPr>
          <w:rFonts w:hint="eastAsia"/>
          <w:rtl/>
        </w:rPr>
        <w:t>הגבלה</w:t>
      </w:r>
      <w:r w:rsidRPr="00223867">
        <w:rPr>
          <w:rtl/>
        </w:rPr>
        <w:t xml:space="preserve"> </w:t>
      </w:r>
      <w:r w:rsidR="00223867" w:rsidRPr="00F57851">
        <w:rPr>
          <w:rFonts w:hint="eastAsia"/>
          <w:rtl/>
        </w:rPr>
        <w:t>על</w:t>
      </w:r>
      <w:r w:rsidR="00223867" w:rsidRPr="00F57851">
        <w:rPr>
          <w:rtl/>
        </w:rPr>
        <w:t xml:space="preserve"> </w:t>
      </w:r>
      <w:r w:rsidR="00223867" w:rsidRPr="00F57851">
        <w:rPr>
          <w:rFonts w:hint="eastAsia"/>
          <w:rtl/>
        </w:rPr>
        <w:t>רישיון</w:t>
      </w:r>
      <w:r w:rsidR="00223867" w:rsidRPr="00F57851">
        <w:rPr>
          <w:rtl/>
        </w:rPr>
        <w:t xml:space="preserve"> </w:t>
      </w:r>
      <w:r w:rsidR="00223867" w:rsidRPr="00F57851">
        <w:rPr>
          <w:rFonts w:hint="eastAsia"/>
          <w:rtl/>
        </w:rPr>
        <w:t>נהיגה</w:t>
      </w:r>
      <w:r w:rsidR="00223867" w:rsidRPr="00F57851">
        <w:rPr>
          <w:rtl/>
        </w:rPr>
        <w:t xml:space="preserve"> </w:t>
      </w:r>
      <w:r w:rsidRPr="00AB7EB0">
        <w:rPr>
          <w:rFonts w:hint="eastAsia"/>
          <w:rtl/>
        </w:rPr>
        <w:t>תעשה</w:t>
      </w:r>
      <w:r w:rsidRPr="00AB7EB0">
        <w:rPr>
          <w:rtl/>
        </w:rPr>
        <w:t xml:space="preserve"> </w:t>
      </w:r>
      <w:r w:rsidRPr="00223867">
        <w:rPr>
          <w:rFonts w:hint="eastAsia"/>
          <w:rtl/>
        </w:rPr>
        <w:t>בצורה</w:t>
      </w:r>
      <w:r w:rsidRPr="00223867">
        <w:rPr>
          <w:rtl/>
        </w:rPr>
        <w:t xml:space="preserve"> </w:t>
      </w:r>
      <w:r w:rsidRPr="00223867">
        <w:rPr>
          <w:rFonts w:hint="eastAsia"/>
          <w:rtl/>
        </w:rPr>
        <w:t>מושכלת</w:t>
      </w:r>
      <w:r w:rsidR="00AC32E1">
        <w:rPr>
          <w:rFonts w:hint="cs"/>
          <w:rtl/>
        </w:rPr>
        <w:t>. זאת</w:t>
      </w:r>
      <w:r w:rsidR="00AC32E1">
        <w:rPr>
          <w:rtl/>
        </w:rPr>
        <w:t xml:space="preserve"> על ידי</w:t>
      </w:r>
      <w:r w:rsidR="00B41457">
        <w:rPr>
          <w:rFonts w:hint="cs"/>
          <w:rtl/>
        </w:rPr>
        <w:t xml:space="preserve"> חובת</w:t>
      </w:r>
      <w:r w:rsidR="00AC32E1">
        <w:rPr>
          <w:rtl/>
        </w:rPr>
        <w:t xml:space="preserve"> </w:t>
      </w:r>
      <w:r w:rsidR="00B41457">
        <w:rPr>
          <w:rFonts w:hint="cs"/>
          <w:rtl/>
        </w:rPr>
        <w:t xml:space="preserve">עריכת דיון במעמד שני הצדדים, במהלכו על </w:t>
      </w:r>
      <w:r w:rsidR="00223867" w:rsidRPr="00F57851">
        <w:rPr>
          <w:rFonts w:hint="eastAsia"/>
          <w:rtl/>
        </w:rPr>
        <w:t>רשם</w:t>
      </w:r>
      <w:r w:rsidR="00223867" w:rsidRPr="00F57851">
        <w:rPr>
          <w:rtl/>
        </w:rPr>
        <w:t xml:space="preserve"> ההוצאה לפועל</w:t>
      </w:r>
      <w:r w:rsidR="00B41457">
        <w:rPr>
          <w:rFonts w:hint="cs"/>
          <w:rtl/>
        </w:rPr>
        <w:t xml:space="preserve"> לבדוק ולהשתכנע</w:t>
      </w:r>
      <w:r w:rsidR="00223867" w:rsidRPr="00F57851">
        <w:rPr>
          <w:rtl/>
        </w:rPr>
        <w:t xml:space="preserve"> </w:t>
      </w:r>
      <w:r w:rsidRPr="00223867">
        <w:rPr>
          <w:rFonts w:hint="eastAsia"/>
          <w:rtl/>
        </w:rPr>
        <w:t>כי</w:t>
      </w:r>
      <w:r w:rsidRPr="00223867">
        <w:rPr>
          <w:rtl/>
        </w:rPr>
        <w:t xml:space="preserve"> </w:t>
      </w:r>
      <w:r w:rsidRPr="00223867">
        <w:rPr>
          <w:rFonts w:hint="eastAsia"/>
          <w:rtl/>
        </w:rPr>
        <w:t>הטלת</w:t>
      </w:r>
      <w:r w:rsidRPr="00223867">
        <w:rPr>
          <w:rtl/>
        </w:rPr>
        <w:t xml:space="preserve"> </w:t>
      </w:r>
      <w:r w:rsidRPr="00223867">
        <w:rPr>
          <w:rFonts w:hint="eastAsia"/>
          <w:rtl/>
        </w:rPr>
        <w:t>ההגבלה</w:t>
      </w:r>
      <w:r w:rsidRPr="00223867">
        <w:rPr>
          <w:rtl/>
        </w:rPr>
        <w:t xml:space="preserve"> </w:t>
      </w:r>
      <w:r w:rsidRPr="00223867">
        <w:rPr>
          <w:rFonts w:hint="eastAsia"/>
          <w:rtl/>
        </w:rPr>
        <w:t>אינה</w:t>
      </w:r>
      <w:r w:rsidRPr="00223867">
        <w:rPr>
          <w:rtl/>
        </w:rPr>
        <w:t xml:space="preserve"> </w:t>
      </w:r>
      <w:r w:rsidR="00223867" w:rsidRPr="00F57851">
        <w:rPr>
          <w:rFonts w:hint="eastAsia"/>
          <w:rtl/>
        </w:rPr>
        <w:t>פוגענית</w:t>
      </w:r>
      <w:r w:rsidR="00223867" w:rsidRPr="00F57851">
        <w:rPr>
          <w:rtl/>
        </w:rPr>
        <w:t xml:space="preserve"> </w:t>
      </w:r>
      <w:r w:rsidR="00223867" w:rsidRPr="00F57851">
        <w:rPr>
          <w:rFonts w:hint="eastAsia"/>
          <w:rtl/>
        </w:rPr>
        <w:t>יתר</w:t>
      </w:r>
      <w:r w:rsidR="00223867" w:rsidRPr="00F57851">
        <w:rPr>
          <w:rtl/>
        </w:rPr>
        <w:t xml:space="preserve"> </w:t>
      </w:r>
      <w:r w:rsidR="00223867" w:rsidRPr="00F57851">
        <w:rPr>
          <w:rFonts w:hint="eastAsia"/>
          <w:rtl/>
        </w:rPr>
        <w:t>על</w:t>
      </w:r>
      <w:r w:rsidR="00223867" w:rsidRPr="00F57851">
        <w:rPr>
          <w:rtl/>
        </w:rPr>
        <w:t xml:space="preserve"> </w:t>
      </w:r>
      <w:r w:rsidR="00223867" w:rsidRPr="00F57851">
        <w:rPr>
          <w:rFonts w:hint="eastAsia"/>
          <w:rtl/>
        </w:rPr>
        <w:t>המידה</w:t>
      </w:r>
      <w:r w:rsidR="00223867" w:rsidRPr="00F57851">
        <w:rPr>
          <w:rtl/>
        </w:rPr>
        <w:t xml:space="preserve">, </w:t>
      </w:r>
      <w:r w:rsidR="00223867" w:rsidRPr="00F57851">
        <w:rPr>
          <w:rFonts w:hint="eastAsia"/>
          <w:rtl/>
        </w:rPr>
        <w:t>וכי</w:t>
      </w:r>
      <w:r w:rsidR="00223867" w:rsidRPr="00F57851">
        <w:rPr>
          <w:rtl/>
        </w:rPr>
        <w:t xml:space="preserve"> </w:t>
      </w:r>
      <w:r w:rsidR="00223867" w:rsidRPr="00F57851">
        <w:rPr>
          <w:rFonts w:hint="eastAsia"/>
          <w:rtl/>
        </w:rPr>
        <w:t>אינה</w:t>
      </w:r>
      <w:r w:rsidR="00223867" w:rsidRPr="00F57851">
        <w:rPr>
          <w:rtl/>
        </w:rPr>
        <w:t xml:space="preserve"> </w:t>
      </w:r>
      <w:r w:rsidR="0055769C">
        <w:rPr>
          <w:rFonts w:hint="cs"/>
          <w:rtl/>
        </w:rPr>
        <w:t>שוללת</w:t>
      </w:r>
      <w:r w:rsidRPr="00AB7EB0">
        <w:rPr>
          <w:rtl/>
        </w:rPr>
        <w:t xml:space="preserve"> </w:t>
      </w:r>
      <w:r w:rsidR="00223867" w:rsidRPr="00F57851">
        <w:rPr>
          <w:rFonts w:hint="eastAsia"/>
          <w:rtl/>
        </w:rPr>
        <w:t>מן</w:t>
      </w:r>
      <w:r w:rsidR="00223867" w:rsidRPr="00F57851">
        <w:rPr>
          <w:rtl/>
        </w:rPr>
        <w:t xml:space="preserve"> </w:t>
      </w:r>
      <w:r w:rsidR="00223867" w:rsidRPr="00F57851">
        <w:rPr>
          <w:rFonts w:hint="eastAsia"/>
          <w:rtl/>
        </w:rPr>
        <w:t>ה</w:t>
      </w:r>
      <w:r w:rsidRPr="00223867">
        <w:rPr>
          <w:rFonts w:hint="eastAsia"/>
          <w:rtl/>
        </w:rPr>
        <w:t>חייב</w:t>
      </w:r>
      <w:r w:rsidRPr="00223867">
        <w:rPr>
          <w:rtl/>
        </w:rPr>
        <w:t xml:space="preserve"> </w:t>
      </w:r>
      <w:r w:rsidR="00223867" w:rsidRPr="00F57851">
        <w:rPr>
          <w:rFonts w:hint="eastAsia"/>
          <w:rtl/>
        </w:rPr>
        <w:t>את</w:t>
      </w:r>
      <w:r w:rsidR="00223867" w:rsidRPr="00F57851">
        <w:rPr>
          <w:rtl/>
        </w:rPr>
        <w:t xml:space="preserve"> </w:t>
      </w:r>
      <w:r w:rsidR="00223867" w:rsidRPr="00F57851">
        <w:rPr>
          <w:rFonts w:hint="eastAsia"/>
          <w:rtl/>
        </w:rPr>
        <w:t>היכולת</w:t>
      </w:r>
      <w:r w:rsidR="00223867" w:rsidRPr="00F57851">
        <w:rPr>
          <w:rtl/>
        </w:rPr>
        <w:t xml:space="preserve"> </w:t>
      </w:r>
      <w:r w:rsidRPr="00223867">
        <w:rPr>
          <w:rFonts w:hint="eastAsia"/>
          <w:rtl/>
        </w:rPr>
        <w:t>לעמוד</w:t>
      </w:r>
      <w:r w:rsidRPr="00223867">
        <w:rPr>
          <w:rtl/>
        </w:rPr>
        <w:t xml:space="preserve"> </w:t>
      </w:r>
      <w:r w:rsidRPr="00AB7EB0">
        <w:rPr>
          <w:rFonts w:hint="eastAsia"/>
          <w:rtl/>
        </w:rPr>
        <w:t>בצווי</w:t>
      </w:r>
      <w:r w:rsidRPr="00AB7EB0">
        <w:rPr>
          <w:rtl/>
        </w:rPr>
        <w:t xml:space="preserve"> </w:t>
      </w:r>
      <w:r w:rsidRPr="00223867">
        <w:rPr>
          <w:rFonts w:hint="eastAsia"/>
          <w:rtl/>
        </w:rPr>
        <w:t>התשלומים</w:t>
      </w:r>
      <w:r w:rsidRPr="00223867">
        <w:rPr>
          <w:rtl/>
        </w:rPr>
        <w:t xml:space="preserve"> </w:t>
      </w:r>
      <w:r w:rsidRPr="00223867">
        <w:rPr>
          <w:rFonts w:hint="eastAsia"/>
          <w:rtl/>
        </w:rPr>
        <w:t>שהושתו</w:t>
      </w:r>
      <w:r w:rsidRPr="00223867">
        <w:rPr>
          <w:rtl/>
        </w:rPr>
        <w:t xml:space="preserve"> </w:t>
      </w:r>
      <w:r w:rsidRPr="00223867">
        <w:rPr>
          <w:rFonts w:hint="eastAsia"/>
          <w:rtl/>
        </w:rPr>
        <w:t>עליו</w:t>
      </w:r>
      <w:r w:rsidRPr="00223867">
        <w:rPr>
          <w:rtl/>
        </w:rPr>
        <w:t xml:space="preserve"> </w:t>
      </w:r>
      <w:r w:rsidR="00223867" w:rsidRPr="00223867">
        <w:rPr>
          <w:rFonts w:hint="eastAsia"/>
          <w:rtl/>
        </w:rPr>
        <w:t>ולהשתקם</w:t>
      </w:r>
      <w:r w:rsidR="00223867">
        <w:rPr>
          <w:rFonts w:hint="cs"/>
          <w:rtl/>
        </w:rPr>
        <w:t>.</w:t>
      </w:r>
      <w:r w:rsidR="00B41457">
        <w:rPr>
          <w:rFonts w:hint="cs"/>
          <w:rtl/>
        </w:rPr>
        <w:t xml:space="preserve"> </w:t>
      </w:r>
      <w:r w:rsidR="0020253D">
        <w:rPr>
          <w:rFonts w:hint="cs"/>
          <w:rtl/>
        </w:rPr>
        <w:t>מוצע</w:t>
      </w:r>
      <w:r w:rsidR="00B41457">
        <w:rPr>
          <w:rFonts w:hint="cs"/>
          <w:rtl/>
        </w:rPr>
        <w:t xml:space="preserve"> עוד</w:t>
      </w:r>
      <w:r w:rsidR="0020253D">
        <w:rPr>
          <w:rFonts w:hint="cs"/>
          <w:rtl/>
        </w:rPr>
        <w:t xml:space="preserve"> כי</w:t>
      </w:r>
      <w:r w:rsidR="00B41457">
        <w:rPr>
          <w:rFonts w:hint="cs"/>
          <w:rtl/>
        </w:rPr>
        <w:t xml:space="preserve"> לא תוטל הגבלה על רישיון נהיגה של חייב שמקצועו הוא </w:t>
      </w:r>
      <w:r w:rsidR="0020253D">
        <w:rPr>
          <w:rFonts w:hint="cs"/>
          <w:rtl/>
        </w:rPr>
        <w:t>נהג.</w:t>
      </w:r>
      <w:r w:rsidR="00B41457">
        <w:rPr>
          <w:rFonts w:hint="cs"/>
          <w:rtl/>
        </w:rPr>
        <w:t xml:space="preserve"> בנוסף, מוצע כי הזמנה לדיון האמור תשלח לצדדים באופן של המצאה מלאה, ותכלול יידוע לחייב כי הוא רשאי למנות לעצמו עורך דין שייצגו בהליך.</w:t>
      </w:r>
    </w:p>
    <w:p w14:paraId="6138DAB6" w14:textId="2050E45C" w:rsidR="007B2181" w:rsidRDefault="0020253D" w:rsidP="00B41457">
      <w:pPr>
        <w:pStyle w:val="Hesber"/>
        <w:rPr>
          <w:rtl/>
        </w:rPr>
      </w:pPr>
      <w:r>
        <w:rPr>
          <w:rFonts w:hint="cs"/>
          <w:rtl/>
        </w:rPr>
        <w:t xml:space="preserve">הצעות חוק בנושא דומה הונחו על שולחן הכנסת השמונה-עשרה והתשע-עשרה על ידי ח"כ עגאבריה עפו וקבוצת חברי הכנסת (פ/2799/18; הוסרה מסדר היום ביום </w:t>
      </w:r>
      <w:r w:rsidRPr="0020253D">
        <w:rPr>
          <w:rtl/>
        </w:rPr>
        <w:t>כ"ה בתמוז התשע"א</w:t>
      </w:r>
      <w:r>
        <w:rPr>
          <w:rFonts w:hint="cs"/>
          <w:rtl/>
        </w:rPr>
        <w:t xml:space="preserve"> (27 ביולי 2011); פ/707/19; הוסרה מסדר היום ביום </w:t>
      </w:r>
      <w:r w:rsidRPr="0020253D">
        <w:rPr>
          <w:rtl/>
        </w:rPr>
        <w:t>ז' בשבט התשע"ד</w:t>
      </w:r>
      <w:r>
        <w:rPr>
          <w:rFonts w:hint="cs"/>
          <w:rtl/>
        </w:rPr>
        <w:t xml:space="preserve"> (8 בינואר 2014))</w:t>
      </w:r>
      <w:r w:rsidR="00B914F5">
        <w:rPr>
          <w:rFonts w:hint="cs"/>
          <w:rtl/>
        </w:rPr>
        <w:t xml:space="preserve">, ועל שולחן הכנסת העשרים  על </w:t>
      </w:r>
      <w:r w:rsidR="00AC2C27" w:rsidRPr="00AB7EB0">
        <w:rPr>
          <w:rFonts w:hint="cs"/>
          <w:rtl/>
        </w:rPr>
        <w:t>ידי חברת הכנסת שרן השכל (פ/4366/20)</w:t>
      </w:r>
      <w:r>
        <w:rPr>
          <w:rFonts w:hint="cs"/>
          <w:rtl/>
        </w:rPr>
        <w:t>, ו</w:t>
      </w:r>
      <w:r w:rsidR="008B1FF5" w:rsidRPr="00AB7EB0">
        <w:rPr>
          <w:rFonts w:hint="cs"/>
          <w:rtl/>
        </w:rPr>
        <w:t>על ידי חבר הכנסת איתן כבל וקבוצת חברי הכנסת (פ/4757/20).</w:t>
      </w:r>
    </w:p>
    <w:p w14:paraId="3CF50F18" w14:textId="471D4EE7" w:rsidR="00B41457" w:rsidRDefault="00B41457" w:rsidP="00B41457">
      <w:pPr>
        <w:pStyle w:val="Hesber"/>
        <w:rPr>
          <w:rtl/>
        </w:rPr>
      </w:pPr>
      <w:r>
        <w:rPr>
          <w:rFonts w:hint="cs"/>
          <w:rtl/>
        </w:rPr>
        <w:t>הצעת החוק נכתבה בסיוע עמותת "ידיד".</w:t>
      </w:r>
    </w:p>
    <w:p w14:paraId="604C11B2" w14:textId="09650529" w:rsidR="009E2A46" w:rsidRDefault="009E2A46" w:rsidP="00B41457">
      <w:pPr>
        <w:pStyle w:val="Hesber"/>
        <w:rPr>
          <w:rtl/>
        </w:rPr>
      </w:pPr>
    </w:p>
    <w:p w14:paraId="16A314E3" w14:textId="77777777" w:rsidR="009E2A46" w:rsidRDefault="009E2A46" w:rsidP="00B41457">
      <w:pPr>
        <w:pStyle w:val="Hesber"/>
        <w:rPr>
          <w:rtl/>
        </w:rPr>
      </w:pPr>
    </w:p>
    <w:p w14:paraId="114E9DE3" w14:textId="77777777" w:rsidR="009E2A46" w:rsidRPr="00D73212" w:rsidRDefault="009E2A46" w:rsidP="009E2A46">
      <w:pPr>
        <w:pStyle w:val="Hesber"/>
        <w:rPr>
          <w:color w:val="auto"/>
          <w:rtl/>
          <w:lang w:eastAsia="en-US"/>
        </w:rPr>
      </w:pPr>
      <w:r w:rsidRPr="00D73212">
        <w:rPr>
          <w:color w:val="auto"/>
          <w:rtl/>
          <w:lang w:eastAsia="en-US"/>
        </w:rPr>
        <w:t>---------------------------------</w:t>
      </w:r>
    </w:p>
    <w:p w14:paraId="100BCAE9" w14:textId="77777777" w:rsidR="009E2A46" w:rsidRPr="00D73212" w:rsidRDefault="009E2A46" w:rsidP="009E2A46">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2F73FE06" w14:textId="77777777" w:rsidR="009E2A46" w:rsidRPr="00D73212" w:rsidRDefault="009E2A46" w:rsidP="009E2A46">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0FE4FA8F" w14:textId="77777777" w:rsidR="009E2A46" w:rsidRPr="00317312" w:rsidRDefault="009E2A46" w:rsidP="009E2A46">
      <w:pPr>
        <w:pStyle w:val="Hesber"/>
      </w:pPr>
      <w:r>
        <w:rPr>
          <w:rFonts w:hint="cs"/>
          <w:color w:val="auto"/>
          <w:rtl/>
          <w:lang w:eastAsia="en-US"/>
        </w:rPr>
        <w:t>ל' בכסלו</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ח</w:t>
      </w:r>
      <w:r w:rsidRPr="00D73212">
        <w:rPr>
          <w:color w:val="auto"/>
          <w:rtl/>
          <w:lang w:eastAsia="en-US"/>
        </w:rPr>
        <w:t xml:space="preserve"> – </w:t>
      </w:r>
      <w:r>
        <w:rPr>
          <w:rFonts w:hint="cs"/>
          <w:color w:val="auto"/>
          <w:rtl/>
          <w:lang w:eastAsia="en-US"/>
        </w:rPr>
        <w:t>18.12</w:t>
      </w:r>
      <w:r w:rsidRPr="00D73212">
        <w:rPr>
          <w:color w:val="auto"/>
          <w:rtl/>
          <w:lang w:eastAsia="en-US"/>
        </w:rPr>
        <w:t>.</w:t>
      </w:r>
      <w:r>
        <w:rPr>
          <w:rFonts w:hint="cs"/>
          <w:color w:val="auto"/>
          <w:rtl/>
          <w:lang w:eastAsia="en-US"/>
        </w:rPr>
        <w:t>17</w:t>
      </w:r>
    </w:p>
    <w:p w14:paraId="5E6CF346" w14:textId="77777777" w:rsidR="009E2A46" w:rsidRDefault="009E2A46" w:rsidP="009E2A46">
      <w:pPr>
        <w:spacing w:before="0" w:line="360" w:lineRule="auto"/>
        <w:ind w:left="340" w:firstLine="0"/>
        <w:rPr>
          <w:rFonts w:ascii="Arial" w:eastAsia="Arial Unicode MS" w:hAnsi="Arial" w:cs="David"/>
          <w:snapToGrid w:val="0"/>
          <w:spacing w:val="0"/>
          <w:sz w:val="20"/>
          <w:szCs w:val="26"/>
          <w:rtl/>
        </w:rPr>
      </w:pPr>
    </w:p>
    <w:p w14:paraId="2B0B6FEA" w14:textId="77777777" w:rsidR="009E2A46" w:rsidRPr="00AB7EB0" w:rsidRDefault="009E2A46" w:rsidP="00B41457">
      <w:pPr>
        <w:pStyle w:val="Hesber"/>
        <w:rPr>
          <w:rtl/>
        </w:rPr>
      </w:pPr>
    </w:p>
    <w:p w14:paraId="6A731D36" w14:textId="77777777" w:rsidR="007B2181" w:rsidRPr="00223867" w:rsidRDefault="007B2181" w:rsidP="00223867">
      <w:pPr>
        <w:pStyle w:val="Hesber"/>
        <w:rPr>
          <w:rtl/>
        </w:rPr>
      </w:pPr>
    </w:p>
    <w:p w14:paraId="46F2D21C" w14:textId="77777777" w:rsidR="007B2181" w:rsidRDefault="007B2181" w:rsidP="007B012C">
      <w:pPr>
        <w:pStyle w:val="Hesber"/>
        <w:rPr>
          <w:rtl/>
        </w:rPr>
      </w:pPr>
    </w:p>
    <w:p w14:paraId="799B111A" w14:textId="77777777" w:rsidR="007B2181" w:rsidRDefault="007B2181" w:rsidP="007B012C">
      <w:pPr>
        <w:pStyle w:val="Hesber"/>
        <w:rPr>
          <w:rtl/>
        </w:rPr>
      </w:pPr>
    </w:p>
    <w:p w14:paraId="50BE02D4" w14:textId="77777777" w:rsidR="007B2181" w:rsidRDefault="007B2181" w:rsidP="007B012C">
      <w:pPr>
        <w:pStyle w:val="Hesber"/>
        <w:rPr>
          <w:rtl/>
        </w:rPr>
      </w:pPr>
    </w:p>
    <w:sectPr w:rsidR="007B2181"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93327C">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3F7DF03" w14:textId="77777777" w:rsidR="007B012C" w:rsidRDefault="007B012C" w:rsidP="007B012C">
      <w:pPr>
        <w:pStyle w:val="a4"/>
      </w:pPr>
      <w:r>
        <w:rPr>
          <w:rStyle w:val="a6"/>
        </w:rPr>
        <w:footnoteRef/>
      </w:r>
      <w:r>
        <w:rPr>
          <w:sz w:val="20"/>
          <w:rtl/>
        </w:rPr>
        <w:t xml:space="preserve"> ס"ח התשכ"ז, עמ' 116.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01BC4"/>
    <w:rsid w:val="00015B27"/>
    <w:rsid w:val="00063A3E"/>
    <w:rsid w:val="00072CAC"/>
    <w:rsid w:val="0007681A"/>
    <w:rsid w:val="000A542E"/>
    <w:rsid w:val="00102B6B"/>
    <w:rsid w:val="001052D4"/>
    <w:rsid w:val="0010644B"/>
    <w:rsid w:val="00117EFD"/>
    <w:rsid w:val="001207F8"/>
    <w:rsid w:val="00121924"/>
    <w:rsid w:val="001279A8"/>
    <w:rsid w:val="0014195F"/>
    <w:rsid w:val="00152609"/>
    <w:rsid w:val="00153E1B"/>
    <w:rsid w:val="001A0623"/>
    <w:rsid w:val="001C23B0"/>
    <w:rsid w:val="001D7AAF"/>
    <w:rsid w:val="0020253D"/>
    <w:rsid w:val="00203A7F"/>
    <w:rsid w:val="0021633A"/>
    <w:rsid w:val="002200A1"/>
    <w:rsid w:val="00223867"/>
    <w:rsid w:val="002362BF"/>
    <w:rsid w:val="00241B97"/>
    <w:rsid w:val="002425D1"/>
    <w:rsid w:val="00246756"/>
    <w:rsid w:val="00251E58"/>
    <w:rsid w:val="00254605"/>
    <w:rsid w:val="00266D86"/>
    <w:rsid w:val="002728B4"/>
    <w:rsid w:val="0027600C"/>
    <w:rsid w:val="00292712"/>
    <w:rsid w:val="002A487D"/>
    <w:rsid w:val="002B02D3"/>
    <w:rsid w:val="002B22A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77DF6"/>
    <w:rsid w:val="004A06DC"/>
    <w:rsid w:val="004B24ED"/>
    <w:rsid w:val="004B6625"/>
    <w:rsid w:val="004D2D82"/>
    <w:rsid w:val="004D3876"/>
    <w:rsid w:val="004E4552"/>
    <w:rsid w:val="004E6CDF"/>
    <w:rsid w:val="00553C9D"/>
    <w:rsid w:val="0055769C"/>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B012C"/>
    <w:rsid w:val="007B2181"/>
    <w:rsid w:val="007C3FA6"/>
    <w:rsid w:val="007D585A"/>
    <w:rsid w:val="007D5A12"/>
    <w:rsid w:val="007E59F9"/>
    <w:rsid w:val="00803F7F"/>
    <w:rsid w:val="00810BCD"/>
    <w:rsid w:val="00812C98"/>
    <w:rsid w:val="00814D92"/>
    <w:rsid w:val="0083181D"/>
    <w:rsid w:val="00842A02"/>
    <w:rsid w:val="00843EB2"/>
    <w:rsid w:val="00862FC8"/>
    <w:rsid w:val="00865572"/>
    <w:rsid w:val="00874BBC"/>
    <w:rsid w:val="00892135"/>
    <w:rsid w:val="00895449"/>
    <w:rsid w:val="00897879"/>
    <w:rsid w:val="008A6870"/>
    <w:rsid w:val="008B1FF5"/>
    <w:rsid w:val="008C2DDC"/>
    <w:rsid w:val="008C7516"/>
    <w:rsid w:val="008E6EC7"/>
    <w:rsid w:val="008F0D63"/>
    <w:rsid w:val="008F1308"/>
    <w:rsid w:val="008F2C35"/>
    <w:rsid w:val="008F6665"/>
    <w:rsid w:val="00904591"/>
    <w:rsid w:val="00905E5F"/>
    <w:rsid w:val="0091204F"/>
    <w:rsid w:val="009203DB"/>
    <w:rsid w:val="00923CD4"/>
    <w:rsid w:val="00930EFE"/>
    <w:rsid w:val="0093327C"/>
    <w:rsid w:val="00943386"/>
    <w:rsid w:val="009456B6"/>
    <w:rsid w:val="00957589"/>
    <w:rsid w:val="00962A9D"/>
    <w:rsid w:val="00966D06"/>
    <w:rsid w:val="00982412"/>
    <w:rsid w:val="00983A8D"/>
    <w:rsid w:val="009940F8"/>
    <w:rsid w:val="009A0DB8"/>
    <w:rsid w:val="009A7257"/>
    <w:rsid w:val="009D6E0A"/>
    <w:rsid w:val="009E1E33"/>
    <w:rsid w:val="009E2A46"/>
    <w:rsid w:val="00A14672"/>
    <w:rsid w:val="00A26BD6"/>
    <w:rsid w:val="00A443CF"/>
    <w:rsid w:val="00A6611D"/>
    <w:rsid w:val="00A82CB7"/>
    <w:rsid w:val="00A942C1"/>
    <w:rsid w:val="00AA2F03"/>
    <w:rsid w:val="00AB7EB0"/>
    <w:rsid w:val="00AC2C27"/>
    <w:rsid w:val="00AC32E1"/>
    <w:rsid w:val="00AC36F7"/>
    <w:rsid w:val="00AC63A4"/>
    <w:rsid w:val="00AD239E"/>
    <w:rsid w:val="00B10265"/>
    <w:rsid w:val="00B16A99"/>
    <w:rsid w:val="00B21211"/>
    <w:rsid w:val="00B354DB"/>
    <w:rsid w:val="00B35784"/>
    <w:rsid w:val="00B41457"/>
    <w:rsid w:val="00B733A7"/>
    <w:rsid w:val="00B75C91"/>
    <w:rsid w:val="00B914F5"/>
    <w:rsid w:val="00B975AD"/>
    <w:rsid w:val="00BC45FB"/>
    <w:rsid w:val="00BF148D"/>
    <w:rsid w:val="00C052E8"/>
    <w:rsid w:val="00C23B1A"/>
    <w:rsid w:val="00C310EB"/>
    <w:rsid w:val="00C35521"/>
    <w:rsid w:val="00C9176A"/>
    <w:rsid w:val="00CF1AA2"/>
    <w:rsid w:val="00D112F0"/>
    <w:rsid w:val="00D17774"/>
    <w:rsid w:val="00D63620"/>
    <w:rsid w:val="00D71152"/>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E37CC"/>
    <w:rsid w:val="00EF3A3A"/>
    <w:rsid w:val="00F536A9"/>
    <w:rsid w:val="00F57851"/>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rsid w:val="007B012C"/>
    <w:rPr>
      <w:rFonts w:ascii="Arial" w:eastAsia="Arial Unicode MS" w:hAnsi="Arial" w:cs="David"/>
      <w:snapToGrid w:val="0"/>
      <w:color w:val="000000"/>
      <w:sz w:val="14"/>
      <w:lang w:eastAsia="ja-JP"/>
    </w:rPr>
  </w:style>
  <w:style w:type="character" w:customStyle="1" w:styleId="default">
    <w:name w:val="default"/>
    <w:basedOn w:val="a0"/>
    <w:rsid w:val="007B012C"/>
  </w:style>
  <w:style w:type="paragraph" w:customStyle="1" w:styleId="p00">
    <w:name w:val="p00"/>
    <w:basedOn w:val="a"/>
    <w:rsid w:val="007B012C"/>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P000">
    <w:name w:val="P00"/>
    <w:link w:val="P001"/>
    <w:rsid w:val="007B218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big-number">
    <w:name w:val="big-number"/>
    <w:rsid w:val="007B2181"/>
    <w:rPr>
      <w:rFonts w:ascii="Times New Roman" w:hAnsi="Times New Roman" w:cs="Miriam"/>
      <w:sz w:val="32"/>
      <w:szCs w:val="32"/>
    </w:rPr>
  </w:style>
  <w:style w:type="character" w:customStyle="1" w:styleId="P001">
    <w:name w:val="P00 תו"/>
    <w:link w:val="P000"/>
    <w:rsid w:val="007B2181"/>
    <w:rPr>
      <w:rFonts w:eastAsia="Times New Roman"/>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0157">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2661-2753-4043-9D5D-E737F871F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3A1450-82C3-4388-98E3-1CB235A3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2</Pages>
  <Words>575</Words>
  <Characters>2880</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20</cp:revision>
  <cp:lastPrinted>2017-12-17T07:20:00Z</cp:lastPrinted>
  <dcterms:created xsi:type="dcterms:W3CDTF">2015-04-20T09:58:00Z</dcterms:created>
  <dcterms:modified xsi:type="dcterms:W3CDTF">2017-12-17T07:21:00Z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2023938</vt:r8>
  </property>
</Properties>
</file>